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7D46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Whistleblowing</w:t>
      </w:r>
    </w:p>
    <w:p w14:paraId="7532AF1B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In vigore dal 3 settembre il nuovo Regolamento per la gestione delle segnalazioni e per l’esercizio del potere sanzionatorio</w:t>
      </w:r>
    </w:p>
    <w:p w14:paraId="3474A65B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nuovo Regolamento per la gestione delle segnalazioni e per l’esercizio del potere sanzionatorio in materia di tutela degli autori di segnalazioni di illeciti o irregolarità di cui siano venuti a conoscenza nell’ambito di un rapporto di lavoro (all’art. 54-bis del decreto legislativo n. 165/2001) è in vigore dal 3 settembre scorso a seguito della avvenuta pubblicazione nella Gazzetta Ufficiale (GU - Serie Generale n. 205 del 18.08.2020)</w:t>
      </w:r>
    </w:p>
    <w:p w14:paraId="7A1EBB29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Con il nuovo testo si è provveduto a modificare l’intera struttura del Regolamento per consentire all’Autorità Nazionale Anticorruzione di esercitare il potere sanzionatorio in modo più efficiente e celere e per svolgere un ruolo attivo nell’opera di emersione di fatti illeciti commessi nelle amministrazioni pubbliche. Ecco le principali novità approvate il 1°luglio 2020 con la Delibera n. 690.</w:t>
      </w:r>
    </w:p>
    <w:p w14:paraId="07FF0664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Sono state distinte le quattro tipologie di procedimento:  </w:t>
      </w:r>
    </w:p>
    <w:p w14:paraId="5DA4CC6B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procedimento di gestione delle segnalazioni di illeciti (presentate ai sensi del co. 1 dell’art. 54-</w:t>
      </w:r>
      <w:r>
        <w:rPr>
          <w:rStyle w:val="Enfasicorsivo"/>
          <w:rFonts w:ascii="Verdana" w:hAnsi="Verdana"/>
          <w:color w:val="000000"/>
          <w:sz w:val="19"/>
          <w:szCs w:val="19"/>
        </w:rPr>
        <w:t>bis</w:t>
      </w:r>
      <w:r>
        <w:rPr>
          <w:rFonts w:ascii="Verdana" w:hAnsi="Verdana"/>
          <w:color w:val="000000"/>
          <w:sz w:val="19"/>
          <w:szCs w:val="19"/>
        </w:rPr>
        <w:t>);</w:t>
      </w:r>
      <w:r>
        <w:rPr>
          <w:rFonts w:ascii="Verdana" w:hAnsi="Verdana"/>
          <w:color w:val="000000"/>
          <w:sz w:val="19"/>
          <w:szCs w:val="19"/>
        </w:rPr>
        <w:br/>
        <w:t>il procedimento sanzionatorio per l’accertamento dell’avvenuta adozione di misure ritorsive (avviato ai sensi del co. 6 primo periodo dell’art. 54-</w:t>
      </w:r>
      <w:r>
        <w:rPr>
          <w:rStyle w:val="Enfasicorsivo"/>
          <w:rFonts w:ascii="Verdana" w:hAnsi="Verdana"/>
          <w:color w:val="000000"/>
          <w:sz w:val="19"/>
          <w:szCs w:val="19"/>
        </w:rPr>
        <w:t>bis</w:t>
      </w:r>
      <w:r>
        <w:rPr>
          <w:rFonts w:ascii="Verdana" w:hAnsi="Verdana"/>
          <w:color w:val="000000"/>
          <w:sz w:val="19"/>
          <w:szCs w:val="19"/>
        </w:rPr>
        <w:t>,);</w:t>
      </w:r>
    </w:p>
    <w:p w14:paraId="16431784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procedimento sanzionatorio per l’accertamento dell’inerzia del Responsabile della Prevenzione della Corruzione e della Trasparenza (RPCT) nello svolgimento di attività di verifica e analisi delle segnalazioni di illeciti (co. 6 terzo periodo dell’art. 54-</w:t>
      </w:r>
      <w:r>
        <w:rPr>
          <w:rStyle w:val="Enfasicorsivo"/>
          <w:rFonts w:ascii="Verdana" w:hAnsi="Verdana"/>
          <w:color w:val="000000"/>
          <w:sz w:val="19"/>
          <w:szCs w:val="19"/>
        </w:rPr>
        <w:t>bis</w:t>
      </w:r>
      <w:r>
        <w:rPr>
          <w:rFonts w:ascii="Verdana" w:hAnsi="Verdana"/>
          <w:color w:val="000000"/>
          <w:sz w:val="19"/>
          <w:szCs w:val="19"/>
        </w:rPr>
        <w:t>);</w:t>
      </w:r>
    </w:p>
    <w:p w14:paraId="26E9D2FC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procedimento sanzionatorio per l’accertamento dell'assenza di procedure per l'inoltro e la gestione delle segnalazioni (co. 6 secondo periodo dell’art. 54-</w:t>
      </w:r>
      <w:r>
        <w:rPr>
          <w:rStyle w:val="Enfasicorsivo"/>
          <w:rFonts w:ascii="Verdana" w:hAnsi="Verdana"/>
          <w:color w:val="000000"/>
          <w:sz w:val="19"/>
          <w:szCs w:val="19"/>
        </w:rPr>
        <w:t>bis</w:t>
      </w:r>
      <w:r>
        <w:rPr>
          <w:rFonts w:ascii="Verdana" w:hAnsi="Verdana"/>
          <w:color w:val="000000"/>
          <w:sz w:val="19"/>
          <w:szCs w:val="19"/>
        </w:rPr>
        <w:t>)</w:t>
      </w:r>
    </w:p>
    <w:p w14:paraId="734FD194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In linea con l’impostazione, il Regolamento è strutturato in cinque Capi. Ecco le più importanti </w:t>
      </w:r>
      <w:proofErr w:type="gramStart"/>
      <w:r>
        <w:rPr>
          <w:rFonts w:ascii="Verdana" w:hAnsi="Verdana"/>
          <w:color w:val="000000"/>
          <w:sz w:val="19"/>
          <w:szCs w:val="19"/>
        </w:rPr>
        <w:t>novità :</w:t>
      </w:r>
      <w:proofErr w:type="gramEnd"/>
    </w:p>
    <w:p w14:paraId="58281845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primo Capo è dedicato alle definizioni: la principale novità qui introdotta riguarda l’art. 1 relativo alle definizioni; in particolare, alla lett. </w:t>
      </w:r>
      <w:r>
        <w:rPr>
          <w:rStyle w:val="Enfasicorsivo"/>
          <w:rFonts w:ascii="Verdana" w:hAnsi="Verdana"/>
          <w:color w:val="000000"/>
          <w:sz w:val="19"/>
          <w:szCs w:val="19"/>
        </w:rPr>
        <w:t>k)</w:t>
      </w:r>
      <w:r>
        <w:rPr>
          <w:rFonts w:ascii="Verdana" w:hAnsi="Verdana"/>
          <w:color w:val="000000"/>
          <w:sz w:val="19"/>
          <w:szCs w:val="19"/>
        </w:rPr>
        <w:t> del citato articolo, è stata fornita una nozione di misura ritorsiva più ampia rispetto a quella prevista dal Regolamento previgente ma, si ritiene, più in linea sia con le Linee Guida sia con la nuova Direttiva europea in materia di </w:t>
      </w:r>
      <w:r>
        <w:rPr>
          <w:rStyle w:val="Enfasicorsivo"/>
          <w:rFonts w:ascii="Verdana" w:hAnsi="Verdana"/>
          <w:color w:val="000000"/>
          <w:sz w:val="19"/>
          <w:szCs w:val="19"/>
        </w:rPr>
        <w:t>whistleblowing</w:t>
      </w:r>
      <w:r>
        <w:rPr>
          <w:rFonts w:ascii="Verdana" w:hAnsi="Verdana"/>
          <w:color w:val="000000"/>
          <w:sz w:val="19"/>
          <w:szCs w:val="19"/>
        </w:rPr>
        <w:t>.</w:t>
      </w:r>
    </w:p>
    <w:p w14:paraId="1537F280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Il secondo Capo disciplina il procedimento di gestione delle segnalazioni di illeciti o di irregolarità trasmesse ad </w:t>
      </w:r>
      <w:proofErr w:type="spellStart"/>
      <w:r>
        <w:rPr>
          <w:rFonts w:ascii="Verdana" w:hAnsi="Verdana"/>
          <w:color w:val="000000"/>
          <w:sz w:val="19"/>
          <w:szCs w:val="19"/>
        </w:rPr>
        <w:t>Anac</w:t>
      </w:r>
      <w:proofErr w:type="spellEnd"/>
      <w:r>
        <w:rPr>
          <w:rFonts w:ascii="Verdana" w:hAnsi="Verdana"/>
          <w:color w:val="000000"/>
          <w:sz w:val="19"/>
          <w:szCs w:val="19"/>
        </w:rPr>
        <w:t xml:space="preserve"> ai sensi dell’art. 54-</w:t>
      </w:r>
      <w:r>
        <w:rPr>
          <w:rStyle w:val="Enfasicorsivo"/>
          <w:rFonts w:ascii="Verdana" w:hAnsi="Verdana"/>
          <w:color w:val="000000"/>
          <w:sz w:val="19"/>
          <w:szCs w:val="19"/>
        </w:rPr>
        <w:t>bis</w:t>
      </w:r>
      <w:r>
        <w:rPr>
          <w:rFonts w:ascii="Verdana" w:hAnsi="Verdana"/>
          <w:color w:val="000000"/>
          <w:sz w:val="19"/>
          <w:szCs w:val="19"/>
        </w:rPr>
        <w:t>, comma 1. Le principali novità proposte riguardano l’introduzione di una analitica indicazione degli elementi essenziali della segnalazione di illeciti;</w:t>
      </w:r>
    </w:p>
    <w:p w14:paraId="1E5ECD67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terzo Capo concerne la disciplina relativa al procedimento sanzionatorio avviato sulla base delle comunicazioni di misure ritorsive. In particolare, si è deciso di introdurre una analitica indicazione degli elementi essenziali delle comunicazioni delle misure ritorsive e di regolamentare la facoltà dell’Ufficio di richiedere integrazioni documentali o informative laddove sia necessario acquisire elementi ulteriori rispetto a quelli contenuti nella comunicazione. Inoltre, si è ritenuto di modificare la disciplina relativa alla fase istruttoria, disciplinando la partecipazione del </w:t>
      </w:r>
      <w:r>
        <w:rPr>
          <w:rStyle w:val="Enfasicorsivo"/>
          <w:rFonts w:ascii="Verdana" w:hAnsi="Verdana"/>
          <w:color w:val="000000"/>
          <w:sz w:val="19"/>
          <w:szCs w:val="19"/>
        </w:rPr>
        <w:t>whistleblower</w:t>
      </w:r>
      <w:r>
        <w:rPr>
          <w:rFonts w:ascii="Verdana" w:hAnsi="Verdana"/>
          <w:color w:val="000000"/>
          <w:sz w:val="19"/>
          <w:szCs w:val="19"/>
        </w:rPr>
        <w:t> al procedimento sanzionatorio avviato dall’Autorità e snellendo l’articolazione del procedimento stesso.</w:t>
      </w:r>
    </w:p>
    <w:p w14:paraId="35FAA509" w14:textId="77777777" w:rsidR="00CF6D98" w:rsidRDefault="00CF6D98" w:rsidP="00CF6D98">
      <w:pPr>
        <w:pStyle w:val="NormaleWeb"/>
        <w:shd w:val="clear" w:color="auto" w:fill="F9F9F9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Il quarto Capo è dedicato al procedimento sanzionatorio semplificato. In particolare, è stato regolamentato in maniera puntuale il procedimento che l’Autorità può avviare ai sensi dell’art. 54-</w:t>
      </w:r>
      <w:r>
        <w:rPr>
          <w:rStyle w:val="Enfasicorsivo"/>
          <w:rFonts w:ascii="Verdana" w:hAnsi="Verdana"/>
          <w:color w:val="000000"/>
          <w:sz w:val="19"/>
          <w:szCs w:val="19"/>
        </w:rPr>
        <w:t>bis </w:t>
      </w:r>
      <w:r>
        <w:rPr>
          <w:rFonts w:ascii="Verdana" w:hAnsi="Verdana"/>
          <w:color w:val="000000"/>
          <w:sz w:val="19"/>
          <w:szCs w:val="19"/>
        </w:rPr>
        <w:t>co. 6 secondo periodo.</w:t>
      </w:r>
    </w:p>
    <w:p w14:paraId="634F4664" w14:textId="5FE3E70C" w:rsidR="00A13D73" w:rsidRDefault="00CF6D98" w:rsidP="00CF6D98">
      <w:pPr>
        <w:pStyle w:val="NormaleWeb"/>
        <w:shd w:val="clear" w:color="auto" w:fill="F9F9F9"/>
      </w:pPr>
      <w:r>
        <w:rPr>
          <w:rFonts w:ascii="Verdana" w:hAnsi="Verdana"/>
          <w:color w:val="000000"/>
          <w:sz w:val="19"/>
          <w:szCs w:val="19"/>
        </w:rPr>
        <w:t>L’ultimo Capo è dedicato alle disposizioni finali: in particolare, è stato stabilito, mediante la previsione di una norma transitoria, che il “</w:t>
      </w:r>
      <w:r>
        <w:rPr>
          <w:rStyle w:val="Enfasicorsivo"/>
          <w:rFonts w:ascii="Verdana" w:hAnsi="Verdana"/>
          <w:color w:val="000000"/>
          <w:sz w:val="19"/>
          <w:szCs w:val="19"/>
        </w:rPr>
        <w:t>Regolamento troverà applicazione ai procedimenti sanzionatori avviati successivamente alla sua entrata in vigore</w:t>
      </w:r>
      <w:r>
        <w:rPr>
          <w:rFonts w:ascii="Verdana" w:hAnsi="Verdana"/>
          <w:color w:val="000000"/>
          <w:sz w:val="19"/>
          <w:szCs w:val="19"/>
        </w:rPr>
        <w:t>”.</w:t>
      </w:r>
    </w:p>
    <w:sectPr w:rsidR="00A13D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98"/>
    <w:rsid w:val="00A13D73"/>
    <w:rsid w:val="00C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1BAC"/>
  <w15:chartTrackingRefBased/>
  <w15:docId w15:val="{5570FC13-D23A-4973-8CA9-B4B90648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F6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F6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1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Ottoni</dc:creator>
  <cp:keywords/>
  <dc:description/>
  <cp:lastModifiedBy>Chiara Ottoni</cp:lastModifiedBy>
  <cp:revision>1</cp:revision>
  <dcterms:created xsi:type="dcterms:W3CDTF">2020-09-30T09:41:00Z</dcterms:created>
  <dcterms:modified xsi:type="dcterms:W3CDTF">2020-09-30T09:42:00Z</dcterms:modified>
</cp:coreProperties>
</file>